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D5A" w:rsidRDefault="00582D5A"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2E16C3">
        <w:rPr>
          <w:sz w:val="22"/>
          <w:szCs w:val="22"/>
        </w:rPr>
        <w:t>:</w:t>
      </w:r>
      <w:r w:rsidR="00016A4D" w:rsidRPr="002E16C3">
        <w:rPr>
          <w:b/>
          <w:sz w:val="22"/>
          <w:szCs w:val="22"/>
        </w:rPr>
        <w:t xml:space="preserve"> </w:t>
      </w:r>
      <w:r w:rsidR="00916CD3">
        <w:rPr>
          <w:b/>
          <w:sz w:val="22"/>
          <w:szCs w:val="22"/>
        </w:rPr>
        <w:t>Reforma</w:t>
      </w:r>
      <w:r w:rsidR="0063796A" w:rsidRPr="002E16C3">
        <w:rPr>
          <w:b/>
          <w:sz w:val="22"/>
          <w:szCs w:val="22"/>
        </w:rPr>
        <w:t>.</w:t>
      </w:r>
    </w:p>
    <w:p w:rsidR="00883840" w:rsidRPr="00A114B6"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26059E">
        <w:rPr>
          <w:b/>
          <w:sz w:val="22"/>
          <w:szCs w:val="22"/>
        </w:rPr>
        <w:t>Colégio</w:t>
      </w:r>
      <w:r w:rsidR="002E16C3" w:rsidRPr="002E16C3">
        <w:rPr>
          <w:b/>
          <w:sz w:val="22"/>
          <w:szCs w:val="22"/>
        </w:rPr>
        <w:t xml:space="preserve"> Estadual </w:t>
      </w:r>
      <w:r w:rsidR="005765FD" w:rsidRPr="005765FD">
        <w:rPr>
          <w:b/>
          <w:sz w:val="22"/>
          <w:szCs w:val="22"/>
        </w:rPr>
        <w:t xml:space="preserve">Major </w:t>
      </w:r>
      <w:r w:rsidR="005765FD">
        <w:rPr>
          <w:b/>
          <w:sz w:val="22"/>
          <w:szCs w:val="22"/>
        </w:rPr>
        <w:t>E</w:t>
      </w:r>
      <w:r w:rsidR="005765FD" w:rsidRPr="005765FD">
        <w:rPr>
          <w:b/>
          <w:sz w:val="22"/>
          <w:szCs w:val="22"/>
        </w:rPr>
        <w:t>mídio</w:t>
      </w:r>
      <w:r w:rsidR="005765FD">
        <w:rPr>
          <w:b/>
          <w:sz w:val="22"/>
          <w:szCs w:val="22"/>
        </w:rPr>
        <w:t>.</w:t>
      </w:r>
    </w:p>
    <w:p w:rsidR="00883840" w:rsidRDefault="00883840" w:rsidP="00D467C7">
      <w:pPr>
        <w:autoSpaceDE w:val="0"/>
        <w:autoSpaceDN w:val="0"/>
        <w:adjustRightInd w:val="0"/>
        <w:spacing w:line="300" w:lineRule="atLeast"/>
        <w:ind w:left="794"/>
        <w:jc w:val="both"/>
        <w:rPr>
          <w:b/>
          <w:color w:val="FF0000"/>
          <w:sz w:val="22"/>
          <w:szCs w:val="22"/>
        </w:rPr>
      </w:pPr>
      <w:r w:rsidRPr="00A114B6">
        <w:rPr>
          <w:sz w:val="22"/>
          <w:szCs w:val="22"/>
        </w:rPr>
        <w:t>Endereço:</w:t>
      </w:r>
      <w:r w:rsidR="002E16C3">
        <w:rPr>
          <w:sz w:val="22"/>
          <w:szCs w:val="22"/>
        </w:rPr>
        <w:t xml:space="preserve"> </w:t>
      </w:r>
      <w:r w:rsidR="005765FD">
        <w:rPr>
          <w:b/>
          <w:sz w:val="22"/>
          <w:szCs w:val="22"/>
        </w:rPr>
        <w:t>R</w:t>
      </w:r>
      <w:r w:rsidR="005765FD" w:rsidRPr="005765FD">
        <w:rPr>
          <w:b/>
          <w:sz w:val="22"/>
          <w:szCs w:val="22"/>
        </w:rPr>
        <w:t xml:space="preserve">ua </w:t>
      </w:r>
      <w:r w:rsidR="005765FD">
        <w:rPr>
          <w:b/>
          <w:sz w:val="22"/>
          <w:szCs w:val="22"/>
        </w:rPr>
        <w:t>P</w:t>
      </w:r>
      <w:r w:rsidR="005765FD" w:rsidRPr="005765FD">
        <w:rPr>
          <w:b/>
          <w:sz w:val="22"/>
          <w:szCs w:val="22"/>
        </w:rPr>
        <w:t xml:space="preserve">io </w:t>
      </w:r>
      <w:r w:rsidR="005765FD">
        <w:rPr>
          <w:b/>
          <w:sz w:val="22"/>
          <w:szCs w:val="22"/>
        </w:rPr>
        <w:t>P</w:t>
      </w:r>
      <w:r w:rsidR="005765FD" w:rsidRPr="005765FD">
        <w:rPr>
          <w:b/>
          <w:sz w:val="22"/>
          <w:szCs w:val="22"/>
        </w:rPr>
        <w:t xml:space="preserve">ereira, n° 7, </w:t>
      </w:r>
      <w:r w:rsidR="005765FD">
        <w:rPr>
          <w:b/>
          <w:sz w:val="22"/>
          <w:szCs w:val="22"/>
        </w:rPr>
        <w:t>C</w:t>
      </w:r>
      <w:r w:rsidR="005765FD" w:rsidRPr="005765FD">
        <w:rPr>
          <w:b/>
          <w:sz w:val="22"/>
          <w:szCs w:val="22"/>
        </w:rPr>
        <w:t>entro</w:t>
      </w:r>
      <w:r w:rsidR="005765FD">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4E3208">
        <w:rPr>
          <w:b/>
          <w:sz w:val="22"/>
          <w:szCs w:val="22"/>
        </w:rPr>
        <w:t>C</w:t>
      </w:r>
      <w:r w:rsidR="004E3208" w:rsidRPr="005765FD">
        <w:rPr>
          <w:b/>
          <w:sz w:val="22"/>
          <w:szCs w:val="22"/>
        </w:rPr>
        <w:t xml:space="preserve">ampo </w:t>
      </w:r>
      <w:r w:rsidR="004E3208">
        <w:rPr>
          <w:b/>
          <w:sz w:val="22"/>
          <w:szCs w:val="22"/>
        </w:rPr>
        <w:t>A</w:t>
      </w:r>
      <w:r w:rsidR="004E3208" w:rsidRPr="005765FD">
        <w:rPr>
          <w:b/>
          <w:sz w:val="22"/>
          <w:szCs w:val="22"/>
        </w:rPr>
        <w:t xml:space="preserve">legre de </w:t>
      </w:r>
      <w:r w:rsidR="004E3208">
        <w:rPr>
          <w:b/>
          <w:sz w:val="22"/>
          <w:szCs w:val="22"/>
        </w:rPr>
        <w:t>G</w:t>
      </w:r>
      <w:r w:rsidR="004E3208" w:rsidRPr="005765FD">
        <w:rPr>
          <w:b/>
          <w:sz w:val="22"/>
          <w:szCs w:val="22"/>
        </w:rPr>
        <w:t xml:space="preserve">oiás </w:t>
      </w:r>
      <w:r w:rsidR="004E3208">
        <w:rPr>
          <w:b/>
          <w:sz w:val="22"/>
          <w:szCs w:val="22"/>
        </w:rPr>
        <w:t>-</w:t>
      </w:r>
      <w:r w:rsidR="004E3208" w:rsidRPr="005765FD">
        <w:rPr>
          <w:b/>
          <w:sz w:val="22"/>
          <w:szCs w:val="22"/>
        </w:rPr>
        <w:t xml:space="preserve"> </w:t>
      </w:r>
      <w:r w:rsidR="004E3208">
        <w:rPr>
          <w:b/>
          <w:sz w:val="22"/>
          <w:szCs w:val="22"/>
        </w:rPr>
        <w:t>GO</w:t>
      </w:r>
      <w:r w:rsidR="002E16C3">
        <w:rPr>
          <w:b/>
          <w:sz w:val="22"/>
          <w:szCs w:val="22"/>
        </w:rPr>
        <w:t>.</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4E3208">
        <w:rPr>
          <w:b/>
          <w:sz w:val="22"/>
          <w:szCs w:val="22"/>
        </w:rPr>
        <w:t>Catalão</w:t>
      </w:r>
      <w:r w:rsidRPr="002E16C3">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CC08F3" w:rsidRDefault="001D5B19" w:rsidP="001D5B19">
      <w:pPr>
        <w:autoSpaceDE w:val="0"/>
        <w:autoSpaceDN w:val="0"/>
        <w:adjustRightInd w:val="0"/>
        <w:spacing w:line="300" w:lineRule="atLeast"/>
        <w:ind w:left="794"/>
        <w:jc w:val="both"/>
      </w:pPr>
      <w:r w:rsidRPr="00B76D1A">
        <w:rPr>
          <w:sz w:val="22"/>
          <w:szCs w:val="22"/>
        </w:rPr>
        <w:t>A presente contratação justifica-se devido à necessidade de haver locais adequados na unidade escolar que possibilitem a realização de todas as atividades</w:t>
      </w:r>
      <w:r w:rsidR="00CC08F3">
        <w:rPr>
          <w:sz w:val="22"/>
          <w:szCs w:val="22"/>
        </w:rPr>
        <w:t xml:space="preserve"> </w:t>
      </w:r>
      <w:r w:rsidRPr="00B76D1A">
        <w:rPr>
          <w:sz w:val="22"/>
          <w:szCs w:val="22"/>
        </w:rPr>
        <w:t xml:space="preserve">necessárias. </w:t>
      </w:r>
      <w:r>
        <w:rPr>
          <w:sz w:val="22"/>
          <w:szCs w:val="22"/>
        </w:rPr>
        <w:t xml:space="preserve">Para as </w:t>
      </w:r>
      <w:r w:rsidRPr="00B76D1A">
        <w:rPr>
          <w:sz w:val="22"/>
          <w:szCs w:val="22"/>
        </w:rPr>
        <w:t>melhorias físicas, há a necessidade de adequação da unidade escolar</w:t>
      </w:r>
      <w:r w:rsidR="00CC08F3">
        <w:rPr>
          <w:sz w:val="22"/>
          <w:szCs w:val="22"/>
        </w:rPr>
        <w:t xml:space="preserve"> </w:t>
      </w:r>
      <w:r w:rsidR="007611AE">
        <w:rPr>
          <w:sz w:val="22"/>
          <w:szCs w:val="22"/>
        </w:rPr>
        <w:t>com relação à segurança e monitoramento</w:t>
      </w:r>
      <w:r w:rsidR="00CC08F3">
        <w:rPr>
          <w:sz w:val="22"/>
          <w:szCs w:val="22"/>
        </w:rPr>
        <w:t xml:space="preserve"> </w:t>
      </w:r>
      <w:r w:rsidRPr="00B76D1A">
        <w:rPr>
          <w:sz w:val="22"/>
          <w:szCs w:val="22"/>
        </w:rPr>
        <w:t>e assim garantir uma estrutura física básica e segura para as atividades escolares.</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D37A29" w:rsidRDefault="008970CF" w:rsidP="007035DC">
      <w:pPr>
        <w:autoSpaceDE w:val="0"/>
        <w:autoSpaceDN w:val="0"/>
        <w:adjustRightInd w:val="0"/>
        <w:spacing w:line="300" w:lineRule="atLeast"/>
        <w:ind w:left="794"/>
        <w:jc w:val="both"/>
        <w:rPr>
          <w:sz w:val="22"/>
          <w:szCs w:val="22"/>
        </w:rPr>
      </w:pPr>
      <w:r w:rsidRPr="00D37A29">
        <w:rPr>
          <w:sz w:val="22"/>
          <w:szCs w:val="22"/>
        </w:rPr>
        <w:t xml:space="preserve">A </w:t>
      </w:r>
      <w:r w:rsidR="00D37A29">
        <w:rPr>
          <w:sz w:val="22"/>
          <w:szCs w:val="22"/>
        </w:rPr>
        <w:t>obra</w:t>
      </w:r>
      <w:r w:rsidR="00244D30" w:rsidRPr="00D37A29">
        <w:rPr>
          <w:sz w:val="22"/>
          <w:szCs w:val="22"/>
        </w:rPr>
        <w:t xml:space="preserve"> a ser executada nesta unidade escolar é </w:t>
      </w:r>
      <w:r w:rsidR="001A19DB">
        <w:rPr>
          <w:sz w:val="22"/>
          <w:szCs w:val="22"/>
        </w:rPr>
        <w:t xml:space="preserve">a </w:t>
      </w:r>
      <w:r w:rsidR="007B18B0">
        <w:rPr>
          <w:sz w:val="22"/>
          <w:szCs w:val="22"/>
        </w:rPr>
        <w:t xml:space="preserve">reforma </w:t>
      </w:r>
      <w:r w:rsidR="007611AE">
        <w:rPr>
          <w:sz w:val="22"/>
          <w:szCs w:val="22"/>
        </w:rPr>
        <w:t xml:space="preserve">do muro do Colégio e </w:t>
      </w:r>
      <w:r w:rsidR="00390670">
        <w:rPr>
          <w:sz w:val="22"/>
          <w:szCs w:val="22"/>
        </w:rPr>
        <w:t xml:space="preserve">a </w:t>
      </w:r>
      <w:r w:rsidR="007611AE">
        <w:rPr>
          <w:sz w:val="22"/>
          <w:szCs w:val="22"/>
        </w:rPr>
        <w:t>instalação de equipamentos de monitoramento</w:t>
      </w:r>
      <w:r w:rsidR="00244D30" w:rsidRPr="00D37A29">
        <w:rPr>
          <w:sz w:val="22"/>
          <w:szCs w:val="22"/>
        </w:rPr>
        <w:t>:</w:t>
      </w:r>
    </w:p>
    <w:p w:rsidR="00CC08F3" w:rsidRDefault="00CC08F3"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0D4890" w:rsidP="008A20E7">
            <w:pPr>
              <w:adjustRightInd w:val="0"/>
              <w:spacing w:line="300" w:lineRule="atLeast"/>
              <w:jc w:val="center"/>
              <w:rPr>
                <w:rFonts w:ascii="Times New Roman" w:hAnsi="Times New Roman"/>
                <w:color w:val="FF0000"/>
                <w:sz w:val="20"/>
                <w:szCs w:val="20"/>
              </w:rPr>
            </w:pPr>
            <w:r w:rsidRPr="000D4890">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956F9C" w:rsidRDefault="00956F9C" w:rsidP="00244D30">
      <w:pPr>
        <w:autoSpaceDE w:val="0"/>
        <w:autoSpaceDN w:val="0"/>
        <w:adjustRightInd w:val="0"/>
        <w:ind w:left="357" w:hanging="357"/>
        <w:jc w:val="both"/>
        <w:rPr>
          <w:sz w:val="22"/>
          <w:szCs w:val="22"/>
        </w:rPr>
      </w:pPr>
    </w:p>
    <w:p w:rsidR="00F34840" w:rsidRPr="00A114B6" w:rsidRDefault="00F34840"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Default="00244D30" w:rsidP="00343306">
      <w:pPr>
        <w:pStyle w:val="PargrafodaLista"/>
        <w:rPr>
          <w:rFonts w:ascii="Times New Roman" w:hAnsi="Times New Roman"/>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482F05" w:rsidRDefault="00482F05" w:rsidP="00343306">
      <w:pPr>
        <w:pStyle w:val="PargrafodaLista"/>
        <w:rPr>
          <w:rFonts w:ascii="Times New Roman" w:hAnsi="Times New Roman"/>
        </w:rPr>
      </w:pPr>
    </w:p>
    <w:p w:rsidR="00AE6ADC" w:rsidRDefault="00AE6ADC" w:rsidP="00343306">
      <w:pPr>
        <w:pStyle w:val="PargrafodaLista"/>
        <w:rPr>
          <w:rFonts w:ascii="Times New Roman" w:hAnsi="Times New Roman"/>
          <w:bCs/>
        </w:rPr>
      </w:pP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lastRenderedPageBreak/>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390670"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390670" w:rsidRPr="00482F05" w:rsidRDefault="00390670" w:rsidP="00390670">
      <w:pPr>
        <w:pStyle w:val="PargrafodaLista"/>
        <w:autoSpaceDE w:val="0"/>
        <w:autoSpaceDN w:val="0"/>
        <w:adjustRightInd w:val="0"/>
        <w:spacing w:after="0" w:line="300" w:lineRule="atLeast"/>
        <w:ind w:left="794"/>
        <w:jc w:val="both"/>
        <w:rPr>
          <w:rFonts w:ascii="Times New Roman" w:hAnsi="Times New Roman"/>
          <w:b/>
          <w:bCs/>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Default="001C53B4" w:rsidP="001C53B4">
      <w:pPr>
        <w:pStyle w:val="PargrafodaLista"/>
        <w:spacing w:after="0" w:line="300" w:lineRule="atLeast"/>
        <w:ind w:left="1758"/>
        <w:jc w:val="both"/>
        <w:rPr>
          <w:rFonts w:ascii="Times New Roman" w:hAnsi="Times New Roman"/>
        </w:rPr>
      </w:pPr>
    </w:p>
    <w:p w:rsidR="00482F05" w:rsidRPr="00A114B6" w:rsidRDefault="00482F05"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664629" w:rsidRPr="00664629" w:rsidRDefault="00664629" w:rsidP="00664629">
      <w:pPr>
        <w:pStyle w:val="PargrafodaLista"/>
        <w:numPr>
          <w:ilvl w:val="1"/>
          <w:numId w:val="5"/>
        </w:numPr>
        <w:autoSpaceDE w:val="0"/>
        <w:autoSpaceDN w:val="0"/>
        <w:adjustRightInd w:val="0"/>
        <w:spacing w:line="300" w:lineRule="atLeast"/>
        <w:jc w:val="both"/>
        <w:rPr>
          <w:rFonts w:ascii="Times New Roman" w:hAnsi="Times New Roman"/>
        </w:rPr>
      </w:pPr>
      <w:r w:rsidRPr="00664629">
        <w:rPr>
          <w:rFonts w:ascii="Times New Roman" w:hAnsi="Times New Roman"/>
        </w:rPr>
        <w:t>Passagem do cabeamento estruturado;</w:t>
      </w:r>
    </w:p>
    <w:p w:rsidR="00664629" w:rsidRPr="00664629" w:rsidRDefault="00664629" w:rsidP="00664629">
      <w:pPr>
        <w:pStyle w:val="PargrafodaLista"/>
        <w:numPr>
          <w:ilvl w:val="1"/>
          <w:numId w:val="5"/>
        </w:numPr>
        <w:autoSpaceDE w:val="0"/>
        <w:autoSpaceDN w:val="0"/>
        <w:adjustRightInd w:val="0"/>
        <w:spacing w:line="300" w:lineRule="atLeast"/>
        <w:jc w:val="both"/>
        <w:rPr>
          <w:rFonts w:ascii="Times New Roman" w:hAnsi="Times New Roman"/>
        </w:rPr>
      </w:pPr>
      <w:r w:rsidRPr="00664629">
        <w:rPr>
          <w:rFonts w:ascii="Times New Roman" w:hAnsi="Times New Roman"/>
        </w:rPr>
        <w:t>Instalação de câmeras - CFTV;</w:t>
      </w:r>
    </w:p>
    <w:p w:rsidR="00664629" w:rsidRPr="00664629" w:rsidRDefault="00664629" w:rsidP="00664629">
      <w:pPr>
        <w:pStyle w:val="PargrafodaLista"/>
        <w:numPr>
          <w:ilvl w:val="1"/>
          <w:numId w:val="5"/>
        </w:numPr>
        <w:autoSpaceDE w:val="0"/>
        <w:autoSpaceDN w:val="0"/>
        <w:adjustRightInd w:val="0"/>
        <w:spacing w:line="300" w:lineRule="atLeast"/>
        <w:jc w:val="both"/>
        <w:rPr>
          <w:rFonts w:ascii="Times New Roman" w:hAnsi="Times New Roman"/>
        </w:rPr>
      </w:pPr>
      <w:r w:rsidRPr="00664629">
        <w:rPr>
          <w:rFonts w:ascii="Times New Roman" w:hAnsi="Times New Roman"/>
        </w:rPr>
        <w:t>Fazer pintura do muro, interna e externamente;</w:t>
      </w:r>
    </w:p>
    <w:p w:rsidR="00664629" w:rsidRDefault="00664629" w:rsidP="00664629">
      <w:pPr>
        <w:pStyle w:val="PargrafodaLista"/>
        <w:numPr>
          <w:ilvl w:val="1"/>
          <w:numId w:val="5"/>
        </w:numPr>
        <w:autoSpaceDE w:val="0"/>
        <w:autoSpaceDN w:val="0"/>
        <w:adjustRightInd w:val="0"/>
        <w:spacing w:after="0" w:line="300" w:lineRule="atLeast"/>
        <w:jc w:val="both"/>
        <w:rPr>
          <w:rFonts w:ascii="Times New Roman" w:hAnsi="Times New Roman"/>
        </w:rPr>
      </w:pPr>
      <w:r w:rsidRPr="00664629">
        <w:rPr>
          <w:rFonts w:ascii="Times New Roman" w:hAnsi="Times New Roman"/>
        </w:rPr>
        <w:t>Complementar muro p/ altura de 2,50m;</w:t>
      </w:r>
    </w:p>
    <w:p w:rsidR="00DC49FC" w:rsidRPr="00664629" w:rsidRDefault="00C66390" w:rsidP="00664629">
      <w:pPr>
        <w:pStyle w:val="PargrafodaLista"/>
        <w:numPr>
          <w:ilvl w:val="1"/>
          <w:numId w:val="5"/>
        </w:numPr>
        <w:autoSpaceDE w:val="0"/>
        <w:autoSpaceDN w:val="0"/>
        <w:adjustRightInd w:val="0"/>
        <w:spacing w:after="0" w:line="300" w:lineRule="atLeast"/>
        <w:jc w:val="both"/>
        <w:rPr>
          <w:rFonts w:ascii="Times New Roman" w:hAnsi="Times New Roman"/>
        </w:rPr>
      </w:pPr>
      <w:r w:rsidRPr="00664629">
        <w:rPr>
          <w:rFonts w:ascii="Times New Roman" w:hAnsi="Times New Roman"/>
        </w:rPr>
        <w:t xml:space="preserve">Providenciar </w:t>
      </w:r>
      <w:r w:rsidR="00DC49FC" w:rsidRPr="00664629">
        <w:rPr>
          <w:rFonts w:ascii="Times New Roman" w:hAnsi="Times New Roman"/>
        </w:rPr>
        <w:t>caçambas para retirada de entulho, restos de materiais da obra e descarte de alg</w:t>
      </w:r>
      <w:r w:rsidR="00F37B23" w:rsidRPr="00664629">
        <w:rPr>
          <w:rFonts w:ascii="Times New Roman" w:hAnsi="Times New Roman"/>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390670" w:rsidRDefault="00390670" w:rsidP="00244D30">
      <w:pPr>
        <w:autoSpaceDE w:val="0"/>
        <w:autoSpaceDN w:val="0"/>
        <w:adjustRightInd w:val="0"/>
        <w:jc w:val="both"/>
        <w:rPr>
          <w:b/>
          <w:bCs/>
          <w:sz w:val="22"/>
          <w:szCs w:val="22"/>
        </w:rPr>
      </w:pPr>
    </w:p>
    <w:p w:rsidR="00390670" w:rsidRDefault="00390670" w:rsidP="00244D30">
      <w:pPr>
        <w:autoSpaceDE w:val="0"/>
        <w:autoSpaceDN w:val="0"/>
        <w:adjustRightInd w:val="0"/>
        <w:jc w:val="both"/>
        <w:rPr>
          <w:b/>
          <w:bCs/>
          <w:sz w:val="22"/>
          <w:szCs w:val="22"/>
        </w:rPr>
      </w:pPr>
    </w:p>
    <w:p w:rsidR="00390670" w:rsidRPr="00A114B6" w:rsidRDefault="00390670"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1671C1">
              <w:rPr>
                <w:rFonts w:eastAsia="Arial Unicode MS"/>
                <w:b/>
              </w:rPr>
              <w:t>R$</w:t>
            </w:r>
            <w:r w:rsidR="001456BD" w:rsidRPr="001456BD">
              <w:rPr>
                <w:rFonts w:eastAsia="Arial Unicode MS"/>
                <w:b/>
              </w:rPr>
              <w:t>108.296,44</w:t>
            </w:r>
            <w:r w:rsidRPr="001671C1">
              <w:rPr>
                <w:rFonts w:eastAsia="Arial Unicode MS"/>
                <w:b/>
              </w:rPr>
              <w:t xml:space="preserve"> – 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78345A">
        <w:trPr>
          <w:trHeight w:val="4994"/>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1456BD" w:rsidRPr="001456BD" w:rsidRDefault="001456BD" w:rsidP="001456BD">
            <w:pPr>
              <w:jc w:val="both"/>
              <w:rPr>
                <w:bCs/>
                <w:sz w:val="20"/>
                <w:szCs w:val="20"/>
              </w:rPr>
            </w:pPr>
            <w:r w:rsidRPr="001456BD">
              <w:rPr>
                <w:bCs/>
                <w:sz w:val="20"/>
                <w:szCs w:val="20"/>
              </w:rPr>
              <w:t>SERVÇOS PRELIMINARES</w:t>
            </w:r>
          </w:p>
          <w:p w:rsidR="001456BD" w:rsidRPr="001456BD" w:rsidRDefault="001456BD" w:rsidP="001456BD">
            <w:pPr>
              <w:jc w:val="both"/>
              <w:rPr>
                <w:bCs/>
                <w:sz w:val="20"/>
                <w:szCs w:val="20"/>
              </w:rPr>
            </w:pPr>
            <w:r w:rsidRPr="001456BD">
              <w:rPr>
                <w:bCs/>
                <w:sz w:val="20"/>
                <w:szCs w:val="20"/>
              </w:rPr>
              <w:t>MURO</w:t>
            </w:r>
          </w:p>
          <w:p w:rsidR="001456BD" w:rsidRPr="001456BD" w:rsidRDefault="001456BD" w:rsidP="001456BD">
            <w:pPr>
              <w:jc w:val="both"/>
              <w:rPr>
                <w:bCs/>
                <w:sz w:val="20"/>
                <w:szCs w:val="20"/>
              </w:rPr>
            </w:pPr>
            <w:r w:rsidRPr="001456BD">
              <w:rPr>
                <w:bCs/>
                <w:sz w:val="20"/>
                <w:szCs w:val="20"/>
              </w:rPr>
              <w:t>CFTV</w:t>
            </w:r>
          </w:p>
          <w:p w:rsidR="001456BD" w:rsidRPr="001456BD" w:rsidRDefault="001456BD" w:rsidP="001456BD">
            <w:pPr>
              <w:jc w:val="both"/>
              <w:rPr>
                <w:bCs/>
                <w:sz w:val="20"/>
                <w:szCs w:val="20"/>
              </w:rPr>
            </w:pPr>
            <w:r w:rsidRPr="001456BD">
              <w:rPr>
                <w:bCs/>
                <w:sz w:val="20"/>
                <w:szCs w:val="20"/>
              </w:rPr>
              <w:t>ADMINISTRAÇÃO</w:t>
            </w:r>
          </w:p>
          <w:p w:rsidR="001456BD" w:rsidRPr="001456BD" w:rsidRDefault="001456BD" w:rsidP="001456BD">
            <w:pPr>
              <w:jc w:val="both"/>
              <w:rPr>
                <w:bCs/>
                <w:sz w:val="20"/>
                <w:szCs w:val="20"/>
              </w:rPr>
            </w:pPr>
            <w:r w:rsidRPr="001456BD">
              <w:rPr>
                <w:bCs/>
                <w:sz w:val="20"/>
                <w:szCs w:val="20"/>
              </w:rPr>
              <w:t>DIVERSOS</w:t>
            </w:r>
          </w:p>
          <w:p w:rsidR="00C822E0" w:rsidRPr="00D56C5C" w:rsidRDefault="00A71EA3" w:rsidP="00A71EA3">
            <w:pPr>
              <w:jc w:val="both"/>
              <w:rPr>
                <w:b/>
                <w:bCs/>
                <w:sz w:val="20"/>
                <w:szCs w:val="20"/>
              </w:rPr>
            </w:pPr>
            <w:r w:rsidRPr="00A71EA3">
              <w:rPr>
                <w:b/>
                <w:bCs/>
                <w:sz w:val="20"/>
                <w:szCs w:val="20"/>
              </w:rPr>
              <w:tab/>
            </w:r>
            <w:r w:rsidRPr="00A71EA3">
              <w:rPr>
                <w:b/>
                <w:bCs/>
                <w:sz w:val="20"/>
                <w:szCs w:val="20"/>
              </w:rPr>
              <w:tab/>
            </w:r>
            <w:r w:rsidRPr="00A71EA3">
              <w:rPr>
                <w:b/>
                <w:bCs/>
                <w:sz w:val="20"/>
                <w:szCs w:val="20"/>
              </w:rPr>
              <w:tab/>
            </w:r>
            <w:r w:rsidRPr="00A71EA3">
              <w:rPr>
                <w:b/>
                <w:bCs/>
                <w:sz w:val="20"/>
                <w:szCs w:val="20"/>
              </w:rPr>
              <w:tab/>
            </w:r>
            <w:r w:rsidRPr="00A71EA3">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20763C" w:rsidRPr="00D56C5C" w:rsidRDefault="0020763C" w:rsidP="00885EE2">
            <w:pPr>
              <w:jc w:val="center"/>
              <w:rPr>
                <w:bCs/>
                <w:sz w:val="20"/>
                <w:szCs w:val="20"/>
              </w:rPr>
            </w:pPr>
          </w:p>
          <w:p w:rsidR="003A0C1D" w:rsidRPr="00D56C5C" w:rsidRDefault="003A0C1D" w:rsidP="00885EE2">
            <w:pPr>
              <w:jc w:val="center"/>
              <w:rPr>
                <w:bCs/>
                <w:sz w:val="20"/>
                <w:szCs w:val="20"/>
              </w:rPr>
            </w:pPr>
          </w:p>
          <w:p w:rsidR="005F23D9" w:rsidRPr="00CB32F7" w:rsidRDefault="005F23D9" w:rsidP="00885EE2">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1456BD" w:rsidRPr="001456BD" w:rsidRDefault="001456BD" w:rsidP="001456BD">
            <w:pPr>
              <w:jc w:val="right"/>
              <w:rPr>
                <w:bCs/>
                <w:sz w:val="20"/>
                <w:szCs w:val="20"/>
              </w:rPr>
            </w:pPr>
            <w:r w:rsidRPr="001456BD">
              <w:rPr>
                <w:bCs/>
                <w:sz w:val="20"/>
                <w:szCs w:val="20"/>
              </w:rPr>
              <w:t>1.582,43</w:t>
            </w:r>
          </w:p>
          <w:p w:rsidR="001456BD" w:rsidRPr="001456BD" w:rsidRDefault="001456BD" w:rsidP="001456BD">
            <w:pPr>
              <w:jc w:val="right"/>
              <w:rPr>
                <w:bCs/>
                <w:sz w:val="20"/>
                <w:szCs w:val="20"/>
              </w:rPr>
            </w:pPr>
            <w:r w:rsidRPr="001456BD">
              <w:rPr>
                <w:bCs/>
                <w:sz w:val="20"/>
                <w:szCs w:val="20"/>
              </w:rPr>
              <w:t>44.032,88</w:t>
            </w:r>
          </w:p>
          <w:p w:rsidR="001456BD" w:rsidRPr="001456BD" w:rsidRDefault="001456BD" w:rsidP="001456BD">
            <w:pPr>
              <w:jc w:val="right"/>
              <w:rPr>
                <w:bCs/>
                <w:sz w:val="20"/>
                <w:szCs w:val="20"/>
              </w:rPr>
            </w:pPr>
            <w:r w:rsidRPr="001456BD">
              <w:rPr>
                <w:bCs/>
                <w:sz w:val="20"/>
                <w:szCs w:val="20"/>
              </w:rPr>
              <w:t>54.197,46</w:t>
            </w:r>
          </w:p>
          <w:p w:rsidR="001456BD" w:rsidRPr="001456BD" w:rsidRDefault="001456BD" w:rsidP="001456BD">
            <w:pPr>
              <w:jc w:val="right"/>
              <w:rPr>
                <w:bCs/>
                <w:sz w:val="20"/>
                <w:szCs w:val="20"/>
              </w:rPr>
            </w:pPr>
            <w:r w:rsidRPr="001456BD">
              <w:rPr>
                <w:bCs/>
                <w:sz w:val="20"/>
                <w:szCs w:val="20"/>
              </w:rPr>
              <w:t>8.054,61</w:t>
            </w:r>
          </w:p>
          <w:p w:rsidR="001456BD" w:rsidRPr="001456BD" w:rsidRDefault="001456BD" w:rsidP="001456BD">
            <w:pPr>
              <w:jc w:val="right"/>
              <w:rPr>
                <w:bCs/>
                <w:sz w:val="20"/>
                <w:szCs w:val="20"/>
              </w:rPr>
            </w:pPr>
            <w:r w:rsidRPr="001456BD">
              <w:rPr>
                <w:bCs/>
                <w:sz w:val="20"/>
                <w:szCs w:val="20"/>
              </w:rPr>
              <w:t>429,06</w:t>
            </w:r>
          </w:p>
          <w:p w:rsidR="00B96F8C" w:rsidRPr="00D56C5C" w:rsidRDefault="00B96F8C" w:rsidP="00AF3877">
            <w:pPr>
              <w:jc w:val="right"/>
              <w:rPr>
                <w:b/>
                <w:bCs/>
                <w:sz w:val="20"/>
                <w:szCs w:val="20"/>
              </w:rPr>
            </w:pP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1456BD" w:rsidP="00016A4D">
            <w:pPr>
              <w:jc w:val="center"/>
              <w:rPr>
                <w:b/>
                <w:bCs/>
                <w:color w:val="FF0000"/>
                <w:sz w:val="20"/>
                <w:szCs w:val="20"/>
              </w:rPr>
            </w:pPr>
            <w:r w:rsidRPr="001456BD">
              <w:rPr>
                <w:b/>
                <w:bCs/>
                <w:sz w:val="20"/>
                <w:szCs w:val="20"/>
              </w:rPr>
              <w:t>108.296,44</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8D5D39">
        <w:trPr>
          <w:trHeight w:val="68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331675" w:rsidRDefault="000D32FB" w:rsidP="008D5D39">
            <w:pPr>
              <w:rPr>
                <w:bCs/>
                <w:sz w:val="20"/>
                <w:szCs w:val="20"/>
              </w:rPr>
            </w:pPr>
            <w:r>
              <w:rPr>
                <w:bCs/>
                <w:sz w:val="20"/>
                <w:szCs w:val="20"/>
              </w:rPr>
              <w:t xml:space="preserve">- </w:t>
            </w:r>
            <w:r w:rsidR="0078345A">
              <w:rPr>
                <w:bCs/>
                <w:sz w:val="20"/>
                <w:szCs w:val="20"/>
              </w:rPr>
              <w:t>T</w:t>
            </w:r>
            <w:r w:rsidR="0078345A" w:rsidRPr="0078345A">
              <w:rPr>
                <w:bCs/>
                <w:sz w:val="20"/>
                <w:szCs w:val="20"/>
              </w:rPr>
              <w:t xml:space="preserve">er executado serviços de </w:t>
            </w:r>
            <w:proofErr w:type="spellStart"/>
            <w:r w:rsidR="0078345A" w:rsidRPr="0078345A">
              <w:rPr>
                <w:bCs/>
                <w:sz w:val="20"/>
                <w:szCs w:val="20"/>
              </w:rPr>
              <w:t>CFTV</w:t>
            </w:r>
            <w:proofErr w:type="spellEnd"/>
            <w:r w:rsidR="0078345A" w:rsidRPr="0078345A">
              <w:rPr>
                <w:bCs/>
                <w:sz w:val="20"/>
                <w:szCs w:val="20"/>
              </w:rPr>
              <w:t xml:space="preserve"> semelhantes ao objeto</w:t>
            </w:r>
            <w:r w:rsidR="00A71EA3" w:rsidRPr="00A71EA3">
              <w:rPr>
                <w:bCs/>
                <w:sz w:val="20"/>
                <w:szCs w:val="20"/>
              </w:rPr>
              <w:tab/>
            </w:r>
            <w:r w:rsidR="00A71EA3" w:rsidRPr="00A71EA3">
              <w:rPr>
                <w:bCs/>
                <w:sz w:val="20"/>
                <w:szCs w:val="20"/>
              </w:rPr>
              <w:tab/>
            </w:r>
          </w:p>
          <w:p w:rsidR="000D32FB" w:rsidRPr="00A93C89" w:rsidRDefault="000D32FB" w:rsidP="008D5D39">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8D5D39" w:rsidRDefault="00B945D8" w:rsidP="008B6713">
            <w:pPr>
              <w:jc w:val="center"/>
              <w:rPr>
                <w:bCs/>
                <w:sz w:val="20"/>
                <w:szCs w:val="20"/>
              </w:rPr>
            </w:pPr>
          </w:p>
          <w:p w:rsidR="00137CC0" w:rsidRPr="008D5D39" w:rsidRDefault="00FE0D72" w:rsidP="008B6713">
            <w:pPr>
              <w:jc w:val="center"/>
              <w:rPr>
                <w:bCs/>
                <w:sz w:val="20"/>
                <w:szCs w:val="20"/>
              </w:rPr>
            </w:pPr>
            <w:r>
              <w:rPr>
                <w:bCs/>
                <w:sz w:val="20"/>
                <w:szCs w:val="20"/>
              </w:rPr>
              <w:t>UN</w:t>
            </w:r>
          </w:p>
          <w:p w:rsidR="000D32FB" w:rsidRPr="008D5D39" w:rsidRDefault="000D32FB" w:rsidP="000D32FB">
            <w:pPr>
              <w:jc w:val="center"/>
              <w:rPr>
                <w:bCs/>
                <w:sz w:val="20"/>
                <w:szCs w:val="20"/>
              </w:rPr>
            </w:pPr>
          </w:p>
          <w:p w:rsidR="00137CC0" w:rsidRPr="008D5D39" w:rsidRDefault="00137CC0" w:rsidP="008B6713">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A71EA3" w:rsidRPr="00A71EA3" w:rsidRDefault="00A71EA3" w:rsidP="00A71EA3">
            <w:pPr>
              <w:jc w:val="right"/>
              <w:rPr>
                <w:bCs/>
                <w:sz w:val="20"/>
                <w:szCs w:val="20"/>
              </w:rPr>
            </w:pPr>
            <w:r w:rsidRPr="00A71EA3">
              <w:rPr>
                <w:bCs/>
                <w:sz w:val="20"/>
                <w:szCs w:val="20"/>
              </w:rPr>
              <w:t xml:space="preserve">1 </w:t>
            </w:r>
          </w:p>
          <w:p w:rsidR="000D32FB" w:rsidRPr="008D5D39" w:rsidRDefault="00A71EA3" w:rsidP="00A71EA3">
            <w:pPr>
              <w:jc w:val="right"/>
              <w:rPr>
                <w:bCs/>
                <w:sz w:val="20"/>
                <w:szCs w:val="20"/>
              </w:rPr>
            </w:pPr>
            <w:r w:rsidRPr="00A71EA3">
              <w:rPr>
                <w:bCs/>
                <w:sz w:val="20"/>
                <w:szCs w:val="20"/>
              </w:rPr>
              <w:t xml:space="preserve"> </w:t>
            </w:r>
          </w:p>
        </w:tc>
        <w:tc>
          <w:tcPr>
            <w:tcW w:w="2126"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0D32FB" w:rsidRDefault="00FE0D72" w:rsidP="00A71EA3">
            <w:pPr>
              <w:jc w:val="right"/>
              <w:rPr>
                <w:bCs/>
                <w:sz w:val="20"/>
                <w:szCs w:val="20"/>
              </w:rPr>
            </w:pPr>
            <w:r>
              <w:rPr>
                <w:bCs/>
                <w:sz w:val="20"/>
                <w:szCs w:val="20"/>
              </w:rPr>
              <w:t>1</w:t>
            </w:r>
          </w:p>
          <w:p w:rsidR="00A71EA3" w:rsidRPr="008D5D39" w:rsidRDefault="00A71EA3" w:rsidP="00A71EA3">
            <w:pPr>
              <w:jc w:val="right"/>
              <w:rPr>
                <w:bCs/>
                <w:sz w:val="20"/>
                <w:szCs w:val="20"/>
              </w:rPr>
            </w:pPr>
          </w:p>
        </w:tc>
      </w:tr>
    </w:tbl>
    <w:p w:rsidR="00306E97" w:rsidRDefault="00306E97" w:rsidP="006D24EA">
      <w:pPr>
        <w:jc w:val="both"/>
        <w:rPr>
          <w:rFonts w:asciiTheme="minorHAnsi" w:hAnsiTheme="minorHAnsi"/>
          <w:b/>
          <w:color w:val="000000"/>
          <w:sz w:val="22"/>
          <w:szCs w:val="22"/>
        </w:rPr>
      </w:pPr>
    </w:p>
    <w:p w:rsidR="00D56C5C" w:rsidRDefault="00D56C5C"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1456BD" w:rsidRPr="001456BD" w:rsidRDefault="001456BD" w:rsidP="001456BD">
      <w:pPr>
        <w:autoSpaceDE w:val="0"/>
        <w:autoSpaceDN w:val="0"/>
        <w:adjustRightInd w:val="0"/>
        <w:spacing w:line="300" w:lineRule="atLeast"/>
        <w:ind w:left="340"/>
        <w:jc w:val="both"/>
        <w:rPr>
          <w:sz w:val="22"/>
          <w:szCs w:val="22"/>
        </w:rPr>
      </w:pPr>
      <w:r w:rsidRPr="001456BD">
        <w:rPr>
          <w:sz w:val="22"/>
          <w:szCs w:val="22"/>
        </w:rPr>
        <w:t xml:space="preserve">Para a obra de </w:t>
      </w:r>
      <w:r w:rsidRPr="001456BD">
        <w:rPr>
          <w:sz w:val="22"/>
          <w:szCs w:val="22"/>
        </w:rPr>
        <w:t>REFORMA</w:t>
      </w:r>
      <w:r w:rsidRPr="001456BD">
        <w:rPr>
          <w:sz w:val="22"/>
          <w:szCs w:val="22"/>
        </w:rPr>
        <w:t xml:space="preserve"> da unidade escolar </w:t>
      </w:r>
      <w:r w:rsidRPr="001456BD">
        <w:rPr>
          <w:sz w:val="22"/>
          <w:szCs w:val="22"/>
        </w:rPr>
        <w:t>COLÉGIO ESTADUAL MAJOR EMÍDIO</w:t>
      </w:r>
      <w:r w:rsidRPr="001456BD">
        <w:rPr>
          <w:sz w:val="22"/>
          <w:szCs w:val="22"/>
        </w:rPr>
        <w:t>, foram elaboradas planilhas orçamentárias estimadas com as tabelas ONERADA e DESONERADA. Foram utilizados como referência os preços publicados pela AGETOP e SINAPI ou aqueles constantes das composições de custos unitários elaboradas pela ECA ENGENHARIA</w:t>
      </w:r>
      <w:r w:rsidRPr="001456BD">
        <w:rPr>
          <w:sz w:val="22"/>
          <w:szCs w:val="22"/>
        </w:rPr>
        <w:t xml:space="preserve">. </w:t>
      </w:r>
      <w:r w:rsidRPr="001456BD">
        <w:rPr>
          <w:sz w:val="22"/>
          <w:szCs w:val="22"/>
        </w:rPr>
        <w:t xml:space="preserve">Após a elaboração das planilhas, verifica-se que a </w:t>
      </w:r>
      <w:r w:rsidRPr="001456BD">
        <w:rPr>
          <w:b/>
          <w:sz w:val="22"/>
          <w:szCs w:val="22"/>
        </w:rPr>
        <w:t>ONERADA é a mais vantajosa</w:t>
      </w:r>
      <w:r w:rsidRPr="001456BD">
        <w:rPr>
          <w:b/>
          <w:sz w:val="22"/>
          <w:szCs w:val="22"/>
        </w:rPr>
        <w:t xml:space="preserve">, </w:t>
      </w:r>
      <w:r w:rsidRPr="001456BD">
        <w:rPr>
          <w:b/>
          <w:sz w:val="22"/>
          <w:szCs w:val="22"/>
        </w:rPr>
        <w:t>conforme art. 3° da Lei Federal 8.666/93.</w:t>
      </w:r>
    </w:p>
    <w:p w:rsidR="00306E97" w:rsidRDefault="00306E97"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lastRenderedPageBreak/>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rPr>
      </w:pPr>
    </w:p>
    <w:p w:rsidR="00482F05" w:rsidRDefault="00482F05" w:rsidP="00482F05">
      <w:pPr>
        <w:pStyle w:val="PargrafodaLista"/>
        <w:autoSpaceDE w:val="0"/>
        <w:autoSpaceDN w:val="0"/>
        <w:adjustRightInd w:val="0"/>
        <w:spacing w:after="0" w:line="300" w:lineRule="atLeast"/>
        <w:ind w:left="794"/>
        <w:jc w:val="both"/>
        <w:rPr>
          <w:rFonts w:ascii="Times New Roman" w:hAnsi="Times New Roman"/>
        </w:rPr>
      </w:pPr>
    </w:p>
    <w:p w:rsidR="001C4289" w:rsidRPr="0035026A" w:rsidRDefault="001C4289" w:rsidP="001C4289">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482F05" w:rsidRPr="00A114B6" w:rsidRDefault="00482F05"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482F05"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0" w:name="_Hlk25588870"/>
      <w:r>
        <w:rPr>
          <w:rFonts w:ascii="Times New Roman" w:hAnsi="Times New Roman"/>
          <w:b/>
          <w:bCs/>
        </w:rPr>
        <w:t xml:space="preserve"> </w:t>
      </w:r>
      <w:r w:rsidR="00D467C7"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482F05"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lastRenderedPageBreak/>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lastRenderedPageBreak/>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0"/>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482F05" w:rsidRPr="00482F05"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w:t>
      </w:r>
      <w:r w:rsidRPr="00A114B6">
        <w:rPr>
          <w:rFonts w:ascii="Times New Roman" w:hAnsi="Times New Roman"/>
        </w:rPr>
        <w:lastRenderedPageBreak/>
        <w:t xml:space="preserve">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 xml:space="preserve">O licitante deverá anexar aos autos o(s) contrato(s) com o(s) </w:t>
      </w:r>
    </w:p>
    <w:p w:rsidR="00D40DE3" w:rsidRPr="00A114B6" w:rsidRDefault="00C66390" w:rsidP="00482F05">
      <w:pPr>
        <w:pStyle w:val="PargrafodaLista"/>
        <w:autoSpaceDE w:val="0"/>
        <w:autoSpaceDN w:val="0"/>
        <w:adjustRightInd w:val="0"/>
        <w:spacing w:after="0" w:line="300" w:lineRule="atLeast"/>
        <w:ind w:left="1474"/>
        <w:jc w:val="both"/>
        <w:rPr>
          <w:rFonts w:ascii="Times New Roman" w:hAnsi="Times New Roman"/>
          <w:b/>
          <w:bCs/>
        </w:rPr>
      </w:pPr>
      <w:r w:rsidRPr="00A114B6">
        <w:rPr>
          <w:rFonts w:ascii="Times New Roman" w:hAnsi="Times New Roman"/>
        </w:rPr>
        <w:t>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90670" w:rsidRDefault="00390670" w:rsidP="003A38F0">
      <w:pPr>
        <w:pStyle w:val="PargrafodaLista"/>
        <w:autoSpaceDE w:val="0"/>
        <w:autoSpaceDN w:val="0"/>
        <w:adjustRightInd w:val="0"/>
        <w:spacing w:after="0" w:line="240" w:lineRule="auto"/>
        <w:ind w:left="1247"/>
        <w:jc w:val="both"/>
        <w:rPr>
          <w:rFonts w:ascii="Times New Roman" w:hAnsi="Times New Roman"/>
          <w:b/>
          <w:bCs/>
        </w:rPr>
      </w:pPr>
    </w:p>
    <w:p w:rsidR="00390670" w:rsidRPr="00A114B6" w:rsidRDefault="0039067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lastRenderedPageBreak/>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482F05" w:rsidRPr="00482F05"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w:t>
      </w:r>
    </w:p>
    <w:p w:rsidR="00CC7D0A" w:rsidRPr="00A114B6" w:rsidRDefault="00CC7D0A" w:rsidP="00482F05">
      <w:pPr>
        <w:pStyle w:val="PargrafodaLista"/>
        <w:autoSpaceDE w:val="0"/>
        <w:autoSpaceDN w:val="0"/>
        <w:adjustRightInd w:val="0"/>
        <w:spacing w:after="0" w:line="300" w:lineRule="atLeast"/>
        <w:ind w:left="1474"/>
        <w:jc w:val="both"/>
        <w:rPr>
          <w:rFonts w:ascii="Times New Roman" w:hAnsi="Times New Roman"/>
          <w:b/>
          <w:bCs/>
        </w:rPr>
      </w:pPr>
      <w:proofErr w:type="spellStart"/>
      <w:r w:rsidRPr="00A114B6">
        <w:rPr>
          <w:rFonts w:ascii="Times New Roman" w:hAnsi="Times New Roman"/>
          <w:color w:val="000000"/>
        </w:rPr>
        <w:t>à</w:t>
      </w:r>
      <w:proofErr w:type="spellEnd"/>
      <w:r w:rsidRPr="00A114B6">
        <w:rPr>
          <w:rFonts w:ascii="Times New Roman" w:hAnsi="Times New Roman"/>
          <w:color w:val="000000"/>
        </w:rPr>
        <w:t xml:space="preserve">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lastRenderedPageBreak/>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r w:rsidR="000E740D">
        <w:rPr>
          <w:spacing w:val="2"/>
          <w:sz w:val="21"/>
          <w:szCs w:val="21"/>
        </w:rPr>
        <w:t xml:space="preserve"> </w:t>
      </w:r>
      <w:r w:rsidRPr="00225F83">
        <w:rPr>
          <w:spacing w:val="2"/>
          <w:sz w:val="21"/>
          <w:szCs w:val="21"/>
        </w:rPr>
        <w:t>Servidor(a)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lastRenderedPageBreak/>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482F05"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w:t>
      </w:r>
    </w:p>
    <w:p w:rsidR="003B44F3" w:rsidRPr="003C6360" w:rsidRDefault="003B44F3"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6531C2">
        <w:rPr>
          <w:sz w:val="22"/>
          <w:szCs w:val="22"/>
        </w:rPr>
        <w:t>0</w:t>
      </w:r>
      <w:r w:rsidR="00AE1EC9">
        <w:rPr>
          <w:sz w:val="22"/>
          <w:szCs w:val="22"/>
        </w:rPr>
        <w:t>4</w:t>
      </w:r>
      <w:r w:rsidR="00EC2B61" w:rsidRPr="001C4289">
        <w:rPr>
          <w:sz w:val="22"/>
          <w:szCs w:val="22"/>
        </w:rPr>
        <w:t xml:space="preserve"> </w:t>
      </w:r>
      <w:r w:rsidR="001D28BA" w:rsidRPr="001C4289">
        <w:rPr>
          <w:sz w:val="22"/>
          <w:szCs w:val="22"/>
        </w:rPr>
        <w:t xml:space="preserve">dias do mês de </w:t>
      </w:r>
      <w:r w:rsidR="006531C2">
        <w:rPr>
          <w:sz w:val="22"/>
          <w:szCs w:val="22"/>
        </w:rPr>
        <w:t>março</w:t>
      </w:r>
      <w:r w:rsidR="00EE0983" w:rsidRPr="001C4289">
        <w:rPr>
          <w:sz w:val="22"/>
          <w:szCs w:val="22"/>
        </w:rPr>
        <w:t xml:space="preserve"> de 20</w:t>
      </w:r>
      <w:r w:rsidR="00297796" w:rsidRPr="001C4289">
        <w:rPr>
          <w:sz w:val="22"/>
          <w:szCs w:val="22"/>
        </w:rPr>
        <w:t>2</w:t>
      </w:r>
      <w:r w:rsidR="001C4289" w:rsidRPr="001C4289">
        <w:rPr>
          <w:sz w:val="22"/>
          <w:szCs w:val="22"/>
        </w:rPr>
        <w:t>1</w:t>
      </w:r>
      <w:r w:rsidR="00A37F11" w:rsidRPr="001C4289">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CB3D51" w:rsidRDefault="00D06811" w:rsidP="00E6380F">
            <w:pPr>
              <w:jc w:val="center"/>
              <w:rPr>
                <w:rFonts w:ascii="Times New Roman" w:hAnsi="Times New Roman"/>
                <w:sz w:val="22"/>
                <w:szCs w:val="22"/>
              </w:rPr>
            </w:pPr>
            <w:r w:rsidRPr="00CB3D51">
              <w:rPr>
                <w:rFonts w:ascii="Times New Roman" w:hAnsi="Times New Roman"/>
                <w:sz w:val="22"/>
                <w:szCs w:val="22"/>
              </w:rPr>
              <w:t>___</w:t>
            </w:r>
            <w:r w:rsidR="00CB3D51">
              <w:rPr>
                <w:rFonts w:ascii="Times New Roman" w:hAnsi="Times New Roman"/>
                <w:sz w:val="22"/>
                <w:szCs w:val="22"/>
              </w:rPr>
              <w:t>________________</w:t>
            </w:r>
            <w:r w:rsidRPr="00CB3D51">
              <w:rPr>
                <w:rFonts w:ascii="Times New Roman" w:hAnsi="Times New Roman"/>
                <w:sz w:val="22"/>
                <w:szCs w:val="22"/>
              </w:rPr>
              <w:t>___________________________</w:t>
            </w:r>
          </w:p>
        </w:tc>
      </w:tr>
      <w:tr w:rsidR="00CB3D51" w:rsidRPr="00016A4D" w:rsidTr="00CB3D51">
        <w:trPr>
          <w:trHeight w:val="70"/>
        </w:trPr>
        <w:tc>
          <w:tcPr>
            <w:tcW w:w="9494" w:type="dxa"/>
          </w:tcPr>
          <w:p w:rsidR="00AE1EC9" w:rsidRPr="00AE1EC9" w:rsidRDefault="00AE1EC9" w:rsidP="00AE1EC9">
            <w:pPr>
              <w:jc w:val="center"/>
              <w:rPr>
                <w:rFonts w:ascii="Times New Roman" w:hAnsi="Times New Roman"/>
                <w:b/>
                <w:sz w:val="22"/>
                <w:szCs w:val="22"/>
              </w:rPr>
            </w:pPr>
            <w:r w:rsidRPr="00AE1EC9">
              <w:rPr>
                <w:rFonts w:ascii="Times New Roman" w:hAnsi="Times New Roman"/>
                <w:b/>
                <w:sz w:val="22"/>
                <w:szCs w:val="22"/>
              </w:rPr>
              <w:t>Carolina Assis Rodrigues</w:t>
            </w:r>
          </w:p>
          <w:p w:rsidR="00AE1EC9" w:rsidRPr="00AE1EC9" w:rsidRDefault="00390670" w:rsidP="00AE1EC9">
            <w:pPr>
              <w:jc w:val="center"/>
              <w:rPr>
                <w:rFonts w:ascii="Times New Roman" w:hAnsi="Times New Roman"/>
                <w:iCs/>
                <w:sz w:val="22"/>
                <w:szCs w:val="22"/>
              </w:rPr>
            </w:pPr>
            <w:r>
              <w:rPr>
                <w:rFonts w:ascii="Times New Roman" w:hAnsi="Times New Roman"/>
                <w:iCs/>
                <w:sz w:val="22"/>
                <w:szCs w:val="22"/>
              </w:rPr>
              <w:t>Engenheira Civil /</w:t>
            </w:r>
            <w:r w:rsidR="00AE1EC9" w:rsidRPr="00AE1EC9">
              <w:rPr>
                <w:rFonts w:ascii="Times New Roman" w:hAnsi="Times New Roman"/>
                <w:iCs/>
                <w:sz w:val="22"/>
                <w:szCs w:val="22"/>
              </w:rPr>
              <w:t>CREA 1018894225D-GO</w:t>
            </w:r>
            <w:bookmarkStart w:id="1" w:name="_GoBack"/>
            <w:bookmarkEnd w:id="1"/>
          </w:p>
          <w:p w:rsidR="00CB3D51" w:rsidRPr="00CB3D51" w:rsidRDefault="00CB3D51" w:rsidP="006531C2">
            <w:pPr>
              <w:jc w:val="center"/>
              <w:rPr>
                <w:rFonts w:ascii="Times New Roman" w:hAnsi="Times New Roman"/>
                <w:b/>
                <w:sz w:val="22"/>
                <w:szCs w:val="22"/>
              </w:rPr>
            </w:pPr>
          </w:p>
        </w:tc>
      </w:tr>
      <w:tr w:rsidR="00CB3D51" w:rsidRPr="00016A4D" w:rsidTr="00D06811">
        <w:tc>
          <w:tcPr>
            <w:tcW w:w="9494" w:type="dxa"/>
          </w:tcPr>
          <w:p w:rsidR="00CB3D51" w:rsidRDefault="00CB3D51" w:rsidP="006531C2">
            <w:pPr>
              <w:rPr>
                <w:rFonts w:ascii="Times New Roman" w:hAnsi="Times New Roman"/>
                <w:iCs/>
                <w:sz w:val="22"/>
                <w:szCs w:val="22"/>
              </w:rPr>
            </w:pPr>
          </w:p>
          <w:p w:rsidR="006531C2" w:rsidRPr="00CB3D51" w:rsidRDefault="006531C2" w:rsidP="006531C2">
            <w:pPr>
              <w:jc w:val="center"/>
              <w:rPr>
                <w:rFonts w:ascii="Times New Roman" w:hAnsi="Times New Roman"/>
                <w:iCs/>
                <w:sz w:val="22"/>
                <w:szCs w:val="22"/>
              </w:rPr>
            </w:pPr>
          </w:p>
        </w:tc>
      </w:tr>
    </w:tbl>
    <w:p w:rsidR="000E740D" w:rsidRDefault="000E740D" w:rsidP="00711A5A">
      <w:pPr>
        <w:rPr>
          <w:color w:val="000000"/>
        </w:rPr>
      </w:pPr>
    </w:p>
    <w:p w:rsidR="000E740D" w:rsidRDefault="000E740D" w:rsidP="00711A5A">
      <w:pPr>
        <w:rPr>
          <w:color w:val="000000"/>
        </w:rPr>
      </w:pPr>
    </w:p>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4F4" w:rsidRDefault="009114F4">
      <w:r>
        <w:separator/>
      </w:r>
    </w:p>
  </w:endnote>
  <w:endnote w:type="continuationSeparator" w:id="0">
    <w:p w:rsidR="009114F4" w:rsidRDefault="0091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2A4" w:rsidRDefault="00C412A4" w:rsidP="00C412A4">
    <w:pPr>
      <w:pStyle w:val="Default"/>
    </w:pPr>
  </w:p>
  <w:p w:rsidR="00C412A4" w:rsidRDefault="00C412A4" w:rsidP="00C412A4">
    <w:pPr>
      <w:pStyle w:val="Rodap"/>
      <w:jc w:val="center"/>
      <w:rPr>
        <w:sz w:val="18"/>
        <w:szCs w:val="18"/>
      </w:rPr>
    </w:pPr>
    <w:r>
      <w:rPr>
        <w:sz w:val="18"/>
        <w:szCs w:val="18"/>
      </w:rPr>
      <w:t>ECA ENGENHARIA</w:t>
    </w:r>
  </w:p>
  <w:p w:rsidR="00C412A4" w:rsidRDefault="00C412A4" w:rsidP="00C412A4">
    <w:pPr>
      <w:pStyle w:val="Rodap"/>
      <w:jc w:val="center"/>
      <w:rPr>
        <w:sz w:val="18"/>
        <w:szCs w:val="18"/>
      </w:rPr>
    </w:pPr>
    <w:r>
      <w:rPr>
        <w:sz w:val="18"/>
        <w:szCs w:val="18"/>
      </w:rPr>
      <w:t>Avenida Antônio da Costa Neves, 194, Santa Helena II, Catalão – GO</w:t>
    </w:r>
  </w:p>
  <w:p w:rsidR="00C412A4" w:rsidRDefault="00C412A4" w:rsidP="00C412A4">
    <w:pPr>
      <w:pStyle w:val="Rodap"/>
      <w:jc w:val="center"/>
      <w:rPr>
        <w:sz w:val="18"/>
        <w:szCs w:val="18"/>
      </w:rPr>
    </w:pPr>
    <w:r>
      <w:rPr>
        <w:sz w:val="18"/>
        <w:szCs w:val="18"/>
      </w:rPr>
      <w:t>(64) 999267167</w:t>
    </w:r>
  </w:p>
  <w:p w:rsidR="00C412A4" w:rsidRDefault="00C412A4" w:rsidP="00C412A4">
    <w:pPr>
      <w:pStyle w:val="Rodap"/>
      <w:jc w:val="center"/>
      <w:rPr>
        <w:color w:val="0000FF"/>
        <w:u w:val="single"/>
      </w:rPr>
    </w:pPr>
    <w:r>
      <w:rPr>
        <w:sz w:val="18"/>
        <w:szCs w:val="18"/>
      </w:rPr>
      <w:t>eca.engcivil@gmail.com</w:t>
    </w:r>
  </w:p>
  <w:p w:rsidR="00225F83" w:rsidRDefault="009114F4"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4F4" w:rsidRDefault="009114F4">
      <w:r>
        <w:separator/>
      </w:r>
    </w:p>
  </w:footnote>
  <w:footnote w:type="continuationSeparator" w:id="0">
    <w:p w:rsidR="009114F4" w:rsidRDefault="0091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C412A4" w:rsidP="00C412A4">
    <w:pPr>
      <w:pStyle w:val="Cabealho"/>
      <w:jc w:val="right"/>
    </w:pPr>
    <w:r w:rsidRPr="00C412A4">
      <w:rPr>
        <w:noProof/>
      </w:rPr>
      <w:drawing>
        <wp:inline distT="0" distB="0" distL="0" distR="0">
          <wp:extent cx="1137147" cy="640971"/>
          <wp:effectExtent l="0" t="0" r="635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799" cy="658812"/>
                  </a:xfrm>
                  <a:prstGeom prst="rect">
                    <a:avLst/>
                  </a:prstGeom>
                  <a:noFill/>
                  <a:ln>
                    <a:noFill/>
                  </a:ln>
                </pic:spPr>
              </pic:pic>
            </a:graphicData>
          </a:graphic>
        </wp:inline>
      </w:drawing>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C820224"/>
    <w:multiLevelType w:val="hybridMultilevel"/>
    <w:tmpl w:val="9F7836EA"/>
    <w:lvl w:ilvl="0" w:tplc="F676906A">
      <w:start w:val="1"/>
      <w:numFmt w:val="bullet"/>
      <w:lvlText w:val=""/>
      <w:lvlJc w:val="left"/>
      <w:pPr>
        <w:tabs>
          <w:tab w:val="num" w:pos="227"/>
        </w:tabs>
        <w:ind w:left="227" w:hanging="227"/>
      </w:pPr>
      <w:rPr>
        <w:rFonts w:ascii="Wingdings" w:hAnsi="Wingdings" w:hint="default"/>
        <w:color w:val="auto"/>
        <w:sz w:val="18"/>
      </w:rPr>
    </w:lvl>
    <w:lvl w:ilvl="1" w:tplc="9C2850D0">
      <w:start w:val="1"/>
      <w:numFmt w:val="bullet"/>
      <w:lvlText w:val=""/>
      <w:lvlJc w:val="left"/>
      <w:pPr>
        <w:tabs>
          <w:tab w:val="num" w:pos="227"/>
        </w:tabs>
        <w:ind w:left="227" w:hanging="227"/>
      </w:pPr>
      <w:rPr>
        <w:rFonts w:ascii="Wingdings" w:hAnsi="Wingding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5"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7"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686E1D"/>
    <w:multiLevelType w:val="hybridMultilevel"/>
    <w:tmpl w:val="8DAA14F4"/>
    <w:lvl w:ilvl="0" w:tplc="BF7A1BA0">
      <w:start w:val="1"/>
      <w:numFmt w:val="bullet"/>
      <w:lvlText w:val=""/>
      <w:lvlJc w:val="left"/>
      <w:pPr>
        <w:tabs>
          <w:tab w:val="num" w:pos="227"/>
        </w:tabs>
        <w:ind w:left="227" w:hanging="227"/>
      </w:pPr>
      <w:rPr>
        <w:rFonts w:ascii="Wingdings" w:hAnsi="Wingdings" w:hint="default"/>
        <w:color w:val="auto"/>
        <w:sz w:val="18"/>
      </w:rPr>
    </w:lvl>
    <w:lvl w:ilvl="1" w:tplc="0416000F">
      <w:start w:val="1"/>
      <w:numFmt w:val="decimal"/>
      <w:lvlText w:val="%2."/>
      <w:lvlJc w:val="left"/>
      <w:pPr>
        <w:tabs>
          <w:tab w:val="num" w:pos="1830"/>
        </w:tabs>
        <w:ind w:left="1830" w:hanging="360"/>
      </w:pPr>
      <w:rPr>
        <w:rFont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5"/>
  </w:num>
  <w:num w:numId="3">
    <w:abstractNumId w:val="22"/>
  </w:num>
  <w:num w:numId="4">
    <w:abstractNumId w:val="30"/>
  </w:num>
  <w:num w:numId="5">
    <w:abstractNumId w:val="16"/>
  </w:num>
  <w:num w:numId="6">
    <w:abstractNumId w:val="28"/>
  </w:num>
  <w:num w:numId="7">
    <w:abstractNumId w:val="8"/>
  </w:num>
  <w:num w:numId="8">
    <w:abstractNumId w:val="7"/>
  </w:num>
  <w:num w:numId="9">
    <w:abstractNumId w:val="4"/>
  </w:num>
  <w:num w:numId="10">
    <w:abstractNumId w:val="23"/>
  </w:num>
  <w:num w:numId="11">
    <w:abstractNumId w:val="14"/>
  </w:num>
  <w:num w:numId="12">
    <w:abstractNumId w:val="26"/>
  </w:num>
  <w:num w:numId="13">
    <w:abstractNumId w:val="31"/>
  </w:num>
  <w:num w:numId="14">
    <w:abstractNumId w:val="24"/>
  </w:num>
  <w:num w:numId="15">
    <w:abstractNumId w:val="25"/>
  </w:num>
  <w:num w:numId="16">
    <w:abstractNumId w:val="0"/>
  </w:num>
  <w:num w:numId="17">
    <w:abstractNumId w:val="6"/>
  </w:num>
  <w:num w:numId="18">
    <w:abstractNumId w:val="29"/>
  </w:num>
  <w:num w:numId="19">
    <w:abstractNumId w:val="21"/>
  </w:num>
  <w:num w:numId="20">
    <w:abstractNumId w:val="10"/>
  </w:num>
  <w:num w:numId="21">
    <w:abstractNumId w:val="5"/>
  </w:num>
  <w:num w:numId="22">
    <w:abstractNumId w:val="13"/>
  </w:num>
  <w:num w:numId="23">
    <w:abstractNumId w:val="9"/>
  </w:num>
  <w:num w:numId="24">
    <w:abstractNumId w:val="18"/>
  </w:num>
  <w:num w:numId="25">
    <w:abstractNumId w:val="1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7"/>
  </w:num>
  <w:num w:numId="35">
    <w:abstractNumId w:val="2"/>
  </w:num>
  <w:num w:numId="36">
    <w:abstractNumId w:val="19"/>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51EC"/>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5F6F"/>
    <w:rsid w:val="000860A2"/>
    <w:rsid w:val="00086246"/>
    <w:rsid w:val="00092403"/>
    <w:rsid w:val="000A2CBC"/>
    <w:rsid w:val="000A4FE6"/>
    <w:rsid w:val="000A5E2F"/>
    <w:rsid w:val="000A67C7"/>
    <w:rsid w:val="000A7335"/>
    <w:rsid w:val="000A7E68"/>
    <w:rsid w:val="000B4643"/>
    <w:rsid w:val="000B6BFE"/>
    <w:rsid w:val="000B6C6A"/>
    <w:rsid w:val="000C057B"/>
    <w:rsid w:val="000C4A48"/>
    <w:rsid w:val="000D1800"/>
    <w:rsid w:val="000D32FB"/>
    <w:rsid w:val="000D4890"/>
    <w:rsid w:val="000E2119"/>
    <w:rsid w:val="000E2163"/>
    <w:rsid w:val="000E740D"/>
    <w:rsid w:val="000E75C0"/>
    <w:rsid w:val="000F0084"/>
    <w:rsid w:val="000F4495"/>
    <w:rsid w:val="000F7A26"/>
    <w:rsid w:val="0010010A"/>
    <w:rsid w:val="001002E7"/>
    <w:rsid w:val="00101CA9"/>
    <w:rsid w:val="001043BC"/>
    <w:rsid w:val="0011154A"/>
    <w:rsid w:val="00112634"/>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6FD"/>
    <w:rsid w:val="00137CC0"/>
    <w:rsid w:val="00141464"/>
    <w:rsid w:val="00142A1E"/>
    <w:rsid w:val="001456BD"/>
    <w:rsid w:val="00146989"/>
    <w:rsid w:val="00155695"/>
    <w:rsid w:val="00156097"/>
    <w:rsid w:val="00160BC5"/>
    <w:rsid w:val="0016267E"/>
    <w:rsid w:val="00162A01"/>
    <w:rsid w:val="00163A25"/>
    <w:rsid w:val="00163C22"/>
    <w:rsid w:val="00164A11"/>
    <w:rsid w:val="00165750"/>
    <w:rsid w:val="00165E00"/>
    <w:rsid w:val="001671C1"/>
    <w:rsid w:val="00170A8A"/>
    <w:rsid w:val="00174436"/>
    <w:rsid w:val="00176883"/>
    <w:rsid w:val="001770E8"/>
    <w:rsid w:val="00177113"/>
    <w:rsid w:val="00180F3C"/>
    <w:rsid w:val="001820C8"/>
    <w:rsid w:val="00183BD9"/>
    <w:rsid w:val="00184212"/>
    <w:rsid w:val="0018799B"/>
    <w:rsid w:val="00194D3A"/>
    <w:rsid w:val="001977EA"/>
    <w:rsid w:val="001A19DB"/>
    <w:rsid w:val="001A2179"/>
    <w:rsid w:val="001A44D0"/>
    <w:rsid w:val="001A46F1"/>
    <w:rsid w:val="001A4DED"/>
    <w:rsid w:val="001B02AD"/>
    <w:rsid w:val="001B3F3E"/>
    <w:rsid w:val="001B6935"/>
    <w:rsid w:val="001C2027"/>
    <w:rsid w:val="001C4289"/>
    <w:rsid w:val="001C4378"/>
    <w:rsid w:val="001C520F"/>
    <w:rsid w:val="001C53B4"/>
    <w:rsid w:val="001D0079"/>
    <w:rsid w:val="001D154A"/>
    <w:rsid w:val="001D2414"/>
    <w:rsid w:val="001D28BA"/>
    <w:rsid w:val="001D5B19"/>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0AD5"/>
    <w:rsid w:val="00234CD9"/>
    <w:rsid w:val="00240058"/>
    <w:rsid w:val="0024475D"/>
    <w:rsid w:val="00244D30"/>
    <w:rsid w:val="00244EC4"/>
    <w:rsid w:val="00246BFE"/>
    <w:rsid w:val="00246C59"/>
    <w:rsid w:val="0024740A"/>
    <w:rsid w:val="00250B64"/>
    <w:rsid w:val="00253F81"/>
    <w:rsid w:val="0026059E"/>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AE4"/>
    <w:rsid w:val="002B5C82"/>
    <w:rsid w:val="002B610C"/>
    <w:rsid w:val="002B68C0"/>
    <w:rsid w:val="002B6E19"/>
    <w:rsid w:val="002B7222"/>
    <w:rsid w:val="002C0167"/>
    <w:rsid w:val="002C26CB"/>
    <w:rsid w:val="002C34FC"/>
    <w:rsid w:val="002D04DE"/>
    <w:rsid w:val="002D2261"/>
    <w:rsid w:val="002D3AF4"/>
    <w:rsid w:val="002D3E5D"/>
    <w:rsid w:val="002D42BE"/>
    <w:rsid w:val="002E16C3"/>
    <w:rsid w:val="002E4BCF"/>
    <w:rsid w:val="002E5DC6"/>
    <w:rsid w:val="002F04AE"/>
    <w:rsid w:val="002F099A"/>
    <w:rsid w:val="00300B13"/>
    <w:rsid w:val="00302348"/>
    <w:rsid w:val="003037DD"/>
    <w:rsid w:val="003051B5"/>
    <w:rsid w:val="00306E97"/>
    <w:rsid w:val="003103D9"/>
    <w:rsid w:val="003108E5"/>
    <w:rsid w:val="003121B5"/>
    <w:rsid w:val="00312C15"/>
    <w:rsid w:val="0031753D"/>
    <w:rsid w:val="003206CC"/>
    <w:rsid w:val="00331221"/>
    <w:rsid w:val="00331675"/>
    <w:rsid w:val="0033169A"/>
    <w:rsid w:val="0033220C"/>
    <w:rsid w:val="0033535F"/>
    <w:rsid w:val="0033666C"/>
    <w:rsid w:val="00341108"/>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90670"/>
    <w:rsid w:val="003A0C1D"/>
    <w:rsid w:val="003A1480"/>
    <w:rsid w:val="003A38F0"/>
    <w:rsid w:val="003A54FD"/>
    <w:rsid w:val="003A561D"/>
    <w:rsid w:val="003A79D9"/>
    <w:rsid w:val="003A7E7A"/>
    <w:rsid w:val="003B44F3"/>
    <w:rsid w:val="003B45DF"/>
    <w:rsid w:val="003B7695"/>
    <w:rsid w:val="003C1B8F"/>
    <w:rsid w:val="003C6360"/>
    <w:rsid w:val="003C6433"/>
    <w:rsid w:val="003C7FE0"/>
    <w:rsid w:val="003D1450"/>
    <w:rsid w:val="003D3571"/>
    <w:rsid w:val="003E1443"/>
    <w:rsid w:val="003E2A24"/>
    <w:rsid w:val="003E4416"/>
    <w:rsid w:val="003E48FA"/>
    <w:rsid w:val="003E527F"/>
    <w:rsid w:val="003E5389"/>
    <w:rsid w:val="003E5584"/>
    <w:rsid w:val="003E63F9"/>
    <w:rsid w:val="003E70C2"/>
    <w:rsid w:val="003F1AF4"/>
    <w:rsid w:val="003F4CD1"/>
    <w:rsid w:val="003F6966"/>
    <w:rsid w:val="003F6B51"/>
    <w:rsid w:val="00400553"/>
    <w:rsid w:val="0040299B"/>
    <w:rsid w:val="00406FD1"/>
    <w:rsid w:val="0041026D"/>
    <w:rsid w:val="00413060"/>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47823"/>
    <w:rsid w:val="004545EE"/>
    <w:rsid w:val="0045501A"/>
    <w:rsid w:val="0045502B"/>
    <w:rsid w:val="004575EF"/>
    <w:rsid w:val="00460D27"/>
    <w:rsid w:val="0047503B"/>
    <w:rsid w:val="00477F04"/>
    <w:rsid w:val="00482340"/>
    <w:rsid w:val="00482F05"/>
    <w:rsid w:val="00485469"/>
    <w:rsid w:val="0048724E"/>
    <w:rsid w:val="0049105C"/>
    <w:rsid w:val="004963E5"/>
    <w:rsid w:val="004A1867"/>
    <w:rsid w:val="004A22D2"/>
    <w:rsid w:val="004A2C52"/>
    <w:rsid w:val="004A6165"/>
    <w:rsid w:val="004B1D8C"/>
    <w:rsid w:val="004B223C"/>
    <w:rsid w:val="004B23E5"/>
    <w:rsid w:val="004B3455"/>
    <w:rsid w:val="004B5A08"/>
    <w:rsid w:val="004B667C"/>
    <w:rsid w:val="004D17F6"/>
    <w:rsid w:val="004D49D1"/>
    <w:rsid w:val="004D4A98"/>
    <w:rsid w:val="004D737C"/>
    <w:rsid w:val="004D7908"/>
    <w:rsid w:val="004E042B"/>
    <w:rsid w:val="004E3208"/>
    <w:rsid w:val="004E5803"/>
    <w:rsid w:val="004E7317"/>
    <w:rsid w:val="004F262D"/>
    <w:rsid w:val="004F4740"/>
    <w:rsid w:val="004F74CE"/>
    <w:rsid w:val="0050219A"/>
    <w:rsid w:val="00504EDB"/>
    <w:rsid w:val="00506689"/>
    <w:rsid w:val="00510D4C"/>
    <w:rsid w:val="0051449E"/>
    <w:rsid w:val="0051594A"/>
    <w:rsid w:val="00523C7E"/>
    <w:rsid w:val="00527DF8"/>
    <w:rsid w:val="00530B29"/>
    <w:rsid w:val="00535132"/>
    <w:rsid w:val="00545CD8"/>
    <w:rsid w:val="005507D8"/>
    <w:rsid w:val="00550A74"/>
    <w:rsid w:val="005528B6"/>
    <w:rsid w:val="00557BA7"/>
    <w:rsid w:val="005608D0"/>
    <w:rsid w:val="00564BD8"/>
    <w:rsid w:val="005701F1"/>
    <w:rsid w:val="005756E0"/>
    <w:rsid w:val="005765FD"/>
    <w:rsid w:val="00577341"/>
    <w:rsid w:val="00582568"/>
    <w:rsid w:val="00582D5A"/>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654D"/>
    <w:rsid w:val="005D09D6"/>
    <w:rsid w:val="005D3A95"/>
    <w:rsid w:val="005D4306"/>
    <w:rsid w:val="005D44F4"/>
    <w:rsid w:val="005D5F65"/>
    <w:rsid w:val="005D67B8"/>
    <w:rsid w:val="005E1E1C"/>
    <w:rsid w:val="005E4EFE"/>
    <w:rsid w:val="005E5DDA"/>
    <w:rsid w:val="005E6563"/>
    <w:rsid w:val="005E7B4C"/>
    <w:rsid w:val="005E7C37"/>
    <w:rsid w:val="005F0E4B"/>
    <w:rsid w:val="005F23D9"/>
    <w:rsid w:val="005F2C6E"/>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31C2"/>
    <w:rsid w:val="00654AB3"/>
    <w:rsid w:val="00657EDE"/>
    <w:rsid w:val="0066090D"/>
    <w:rsid w:val="00664629"/>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1AE"/>
    <w:rsid w:val="007618D8"/>
    <w:rsid w:val="00761F55"/>
    <w:rsid w:val="00762CA7"/>
    <w:rsid w:val="007630D2"/>
    <w:rsid w:val="00764E83"/>
    <w:rsid w:val="0076798C"/>
    <w:rsid w:val="007708C4"/>
    <w:rsid w:val="00772D00"/>
    <w:rsid w:val="0077328F"/>
    <w:rsid w:val="007743EA"/>
    <w:rsid w:val="0078051A"/>
    <w:rsid w:val="0078345A"/>
    <w:rsid w:val="00784FC0"/>
    <w:rsid w:val="00787D2A"/>
    <w:rsid w:val="00791AA5"/>
    <w:rsid w:val="00792A9A"/>
    <w:rsid w:val="0079462F"/>
    <w:rsid w:val="00795AA7"/>
    <w:rsid w:val="007972E7"/>
    <w:rsid w:val="007A1047"/>
    <w:rsid w:val="007A1B43"/>
    <w:rsid w:val="007B18B0"/>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13A1"/>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3747"/>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5D39"/>
    <w:rsid w:val="008D6714"/>
    <w:rsid w:val="008E5CA3"/>
    <w:rsid w:val="008F3BCC"/>
    <w:rsid w:val="0090023F"/>
    <w:rsid w:val="0090324F"/>
    <w:rsid w:val="00903DD5"/>
    <w:rsid w:val="00904A13"/>
    <w:rsid w:val="009104FF"/>
    <w:rsid w:val="009114F4"/>
    <w:rsid w:val="00915A9F"/>
    <w:rsid w:val="00916CD3"/>
    <w:rsid w:val="00916E53"/>
    <w:rsid w:val="00922B65"/>
    <w:rsid w:val="00922CDA"/>
    <w:rsid w:val="00922E5F"/>
    <w:rsid w:val="009247D8"/>
    <w:rsid w:val="00924830"/>
    <w:rsid w:val="0093017E"/>
    <w:rsid w:val="00931C8A"/>
    <w:rsid w:val="00935FFE"/>
    <w:rsid w:val="00942473"/>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4816"/>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244"/>
    <w:rsid w:val="00A71CB4"/>
    <w:rsid w:val="00A71EA3"/>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1EC9"/>
    <w:rsid w:val="00AE4B53"/>
    <w:rsid w:val="00AE6ADC"/>
    <w:rsid w:val="00AE70AF"/>
    <w:rsid w:val="00AF0671"/>
    <w:rsid w:val="00AF3877"/>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75DE0"/>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4C"/>
    <w:rsid w:val="00BD02EE"/>
    <w:rsid w:val="00BD22C7"/>
    <w:rsid w:val="00BD5FE3"/>
    <w:rsid w:val="00BD6FF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1F8B"/>
    <w:rsid w:val="00C224BC"/>
    <w:rsid w:val="00C228C1"/>
    <w:rsid w:val="00C26241"/>
    <w:rsid w:val="00C27251"/>
    <w:rsid w:val="00C3173E"/>
    <w:rsid w:val="00C31A73"/>
    <w:rsid w:val="00C31EAD"/>
    <w:rsid w:val="00C32BA1"/>
    <w:rsid w:val="00C33F9E"/>
    <w:rsid w:val="00C37535"/>
    <w:rsid w:val="00C375F0"/>
    <w:rsid w:val="00C412A4"/>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32F7"/>
    <w:rsid w:val="00CB3D51"/>
    <w:rsid w:val="00CB40B1"/>
    <w:rsid w:val="00CB4C28"/>
    <w:rsid w:val="00CC08F3"/>
    <w:rsid w:val="00CC57AE"/>
    <w:rsid w:val="00CC71FB"/>
    <w:rsid w:val="00CC7D0A"/>
    <w:rsid w:val="00CD177E"/>
    <w:rsid w:val="00CD2DFB"/>
    <w:rsid w:val="00CD4ED7"/>
    <w:rsid w:val="00CD61D8"/>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37A29"/>
    <w:rsid w:val="00D40DE3"/>
    <w:rsid w:val="00D41410"/>
    <w:rsid w:val="00D43D4F"/>
    <w:rsid w:val="00D44823"/>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34F8"/>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0A05"/>
    <w:rsid w:val="00DB3338"/>
    <w:rsid w:val="00DB4942"/>
    <w:rsid w:val="00DB56EE"/>
    <w:rsid w:val="00DB71BD"/>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32A9"/>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A46E1"/>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56C5"/>
    <w:rsid w:val="00EE610D"/>
    <w:rsid w:val="00EE62FF"/>
    <w:rsid w:val="00EE70CA"/>
    <w:rsid w:val="00EF0323"/>
    <w:rsid w:val="00EF2155"/>
    <w:rsid w:val="00EF2FA2"/>
    <w:rsid w:val="00EF2FE0"/>
    <w:rsid w:val="00EF3F6E"/>
    <w:rsid w:val="00EF5254"/>
    <w:rsid w:val="00EF5A35"/>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4840"/>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6CF9"/>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08A4"/>
    <w:rsid w:val="00FE0D72"/>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A2A26C"/>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44978164">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957591864">
      <w:bodyDiv w:val="1"/>
      <w:marLeft w:val="0"/>
      <w:marRight w:val="0"/>
      <w:marTop w:val="0"/>
      <w:marBottom w:val="0"/>
      <w:divBdr>
        <w:top w:val="none" w:sz="0" w:space="0" w:color="auto"/>
        <w:left w:val="none" w:sz="0" w:space="0" w:color="auto"/>
        <w:bottom w:val="none" w:sz="0" w:space="0" w:color="auto"/>
        <w:right w:val="none" w:sz="0" w:space="0" w:color="auto"/>
      </w:divBdr>
    </w:div>
    <w:div w:id="21433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F7D8-3472-473D-8BDC-910C5CB9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4745</Words>
  <Characters>25624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23</cp:revision>
  <cp:lastPrinted>2017-05-18T12:35:00Z</cp:lastPrinted>
  <dcterms:created xsi:type="dcterms:W3CDTF">2021-03-02T18:43:00Z</dcterms:created>
  <dcterms:modified xsi:type="dcterms:W3CDTF">2021-03-04T12:09:00Z</dcterms:modified>
</cp:coreProperties>
</file>